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D37F7" w14:textId="77777777" w:rsidR="003B0858" w:rsidRPr="00582748" w:rsidRDefault="003B0858" w:rsidP="00D4606D">
      <w:pPr>
        <w:rPr>
          <w:rFonts w:asciiTheme="minorHAnsi" w:hAnsiTheme="minorHAnsi"/>
          <w:sz w:val="20"/>
          <w:szCs w:val="20"/>
        </w:rPr>
      </w:pPr>
    </w:p>
    <w:p w14:paraId="7091D956" w14:textId="77777777" w:rsidR="00F15632" w:rsidRPr="00582748" w:rsidRDefault="00DD280F" w:rsidP="00D4606D">
      <w:pPr>
        <w:jc w:val="right"/>
        <w:rPr>
          <w:rFonts w:asciiTheme="minorHAnsi" w:hAnsiTheme="minorHAnsi"/>
          <w:sz w:val="20"/>
          <w:szCs w:val="20"/>
        </w:rPr>
      </w:pPr>
      <w:r w:rsidRPr="00582748">
        <w:rPr>
          <w:rFonts w:asciiTheme="minorHAnsi" w:hAnsiTheme="minorHAnsi"/>
          <w:sz w:val="20"/>
          <w:szCs w:val="20"/>
        </w:rPr>
        <w:t>Załącznik nr 4</w:t>
      </w:r>
    </w:p>
    <w:p w14:paraId="264B996D" w14:textId="77777777" w:rsidR="00DD280F" w:rsidRPr="00582748" w:rsidRDefault="00DD280F" w:rsidP="00D4606D">
      <w:pPr>
        <w:jc w:val="right"/>
        <w:rPr>
          <w:rFonts w:asciiTheme="minorHAnsi" w:hAnsiTheme="minorHAnsi"/>
          <w:sz w:val="20"/>
          <w:szCs w:val="20"/>
        </w:rPr>
      </w:pPr>
    </w:p>
    <w:p w14:paraId="3D49B4B4" w14:textId="77777777" w:rsidR="00DD280F" w:rsidRPr="00582748" w:rsidRDefault="00DD280F" w:rsidP="00DD280F">
      <w:pPr>
        <w:jc w:val="center"/>
        <w:rPr>
          <w:rFonts w:asciiTheme="minorHAnsi" w:hAnsiTheme="minorHAnsi"/>
          <w:sz w:val="20"/>
          <w:szCs w:val="20"/>
        </w:rPr>
      </w:pPr>
      <w:r w:rsidRPr="00582748">
        <w:rPr>
          <w:rFonts w:asciiTheme="minorHAnsi" w:hAnsiTheme="minorHAnsi"/>
          <w:sz w:val="20"/>
          <w:szCs w:val="20"/>
        </w:rPr>
        <w:t>Wzór umowy</w:t>
      </w:r>
    </w:p>
    <w:p w14:paraId="4FA62984" w14:textId="77777777" w:rsidR="00DD280F" w:rsidRPr="00582748" w:rsidRDefault="00DD280F" w:rsidP="00DD280F">
      <w:pPr>
        <w:jc w:val="center"/>
        <w:rPr>
          <w:rFonts w:asciiTheme="minorHAnsi" w:hAnsiTheme="minorHAnsi"/>
          <w:sz w:val="20"/>
          <w:szCs w:val="20"/>
        </w:rPr>
      </w:pPr>
    </w:p>
    <w:p w14:paraId="34939BC6" w14:textId="77777777" w:rsidR="00DD280F" w:rsidRPr="00582748" w:rsidRDefault="00DD280F" w:rsidP="00DD280F">
      <w:pPr>
        <w:spacing w:after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DCBC736" w14:textId="77777777" w:rsidR="00DD280F" w:rsidRPr="00582748" w:rsidRDefault="00DD280F" w:rsidP="00DD280F">
      <w:pPr>
        <w:spacing w:after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zawarta w Krakowie w dniu ___________ r.  pomiędzy:</w:t>
      </w:r>
    </w:p>
    <w:p w14:paraId="2EC3D51D" w14:textId="77777777" w:rsidR="000157F6" w:rsidRPr="00582748" w:rsidRDefault="00DD280F" w:rsidP="00DD280F">
      <w:pPr>
        <w:pStyle w:val="Tekstpodstawowy2"/>
        <w:spacing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b/>
          <w:color w:val="000000" w:themeColor="text1"/>
          <w:sz w:val="20"/>
          <w:szCs w:val="20"/>
        </w:rPr>
        <w:t>Narodowym Starym Teatrem im. Heleny Modrzejewskiej</w:t>
      </w:r>
      <w:r w:rsidR="00136CAA" w:rsidRPr="0058274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w Krakowie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, z siedzibą w Krakowie przy ul. Jagiellońskiej 5, wpisanym pod numerem RIK 6/92 do rejestru instytucji kultury prowadzonego przez Ministra Kultury</w:t>
      </w:r>
      <w:r w:rsidR="000157F6" w:rsidRPr="00582748">
        <w:rPr>
          <w:rFonts w:asciiTheme="minorHAnsi" w:hAnsiTheme="minorHAnsi" w:cs="Arial"/>
          <w:color w:val="000000" w:themeColor="text1"/>
          <w:sz w:val="20"/>
          <w:szCs w:val="20"/>
        </w:rPr>
        <w:t>,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 Dziedzictwa Narodowego</w:t>
      </w:r>
      <w:r w:rsidR="000157F6"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 i Sportu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</w:p>
    <w:p w14:paraId="64799794" w14:textId="7B8C5DF5" w:rsidR="000157F6" w:rsidRPr="00582748" w:rsidRDefault="000157F6" w:rsidP="00DD280F">
      <w:pPr>
        <w:pStyle w:val="Tekstpodstawowy2"/>
        <w:spacing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NIP</w:t>
      </w:r>
    </w:p>
    <w:p w14:paraId="27B8E741" w14:textId="52FD8CCB" w:rsidR="000157F6" w:rsidRPr="00582748" w:rsidRDefault="000157F6" w:rsidP="00DD280F">
      <w:pPr>
        <w:pStyle w:val="Tekstpodstawowy2"/>
        <w:spacing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REGON</w:t>
      </w:r>
    </w:p>
    <w:p w14:paraId="2DA612A6" w14:textId="219DB169" w:rsidR="00DD280F" w:rsidRPr="00582748" w:rsidRDefault="00DD280F" w:rsidP="00DD280F">
      <w:pPr>
        <w:pStyle w:val="Tekstpodstawowy2"/>
        <w:spacing w:line="240" w:lineRule="auto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zwanym dalej </w:t>
      </w:r>
      <w:r w:rsidRPr="00582748">
        <w:rPr>
          <w:rFonts w:asciiTheme="minorHAnsi" w:hAnsiTheme="minorHAnsi" w:cs="Arial"/>
          <w:b/>
          <w:color w:val="000000" w:themeColor="text1"/>
          <w:sz w:val="20"/>
          <w:szCs w:val="20"/>
        </w:rPr>
        <w:t>Teatrem</w:t>
      </w:r>
    </w:p>
    <w:p w14:paraId="39ABD4E6" w14:textId="2BFEAE83" w:rsidR="000157F6" w:rsidRPr="00582748" w:rsidRDefault="000157F6" w:rsidP="00DD280F">
      <w:pPr>
        <w:pStyle w:val="Tekstpodstawowy2"/>
        <w:spacing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reprezentowanym przez </w:t>
      </w:r>
    </w:p>
    <w:p w14:paraId="57262E57" w14:textId="77777777" w:rsidR="00DD280F" w:rsidRPr="00582748" w:rsidRDefault="00DD280F" w:rsidP="00DD280F">
      <w:pPr>
        <w:spacing w:after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a</w:t>
      </w:r>
    </w:p>
    <w:p w14:paraId="6ECC96BF" w14:textId="77777777" w:rsidR="00DD280F" w:rsidRPr="00582748" w:rsidRDefault="00DD280F" w:rsidP="00DD280F">
      <w:pPr>
        <w:pStyle w:val="Tekstpodstawowy21"/>
        <w:spacing w:after="120"/>
        <w:rPr>
          <w:rFonts w:asciiTheme="minorHAnsi" w:hAnsiTheme="minorHAnsi" w:cs="Arial"/>
          <w:b/>
          <w:color w:val="000000" w:themeColor="text1"/>
          <w:sz w:val="20"/>
        </w:rPr>
      </w:pPr>
      <w:r w:rsidRPr="00582748">
        <w:rPr>
          <w:rFonts w:asciiTheme="minorHAnsi" w:hAnsiTheme="minorHAnsi" w:cs="Arial"/>
          <w:b/>
          <w:color w:val="000000" w:themeColor="text1"/>
          <w:sz w:val="20"/>
        </w:rPr>
        <w:t>___________________________</w:t>
      </w:r>
    </w:p>
    <w:p w14:paraId="39C000BE" w14:textId="77777777" w:rsidR="00DD280F" w:rsidRPr="00582748" w:rsidRDefault="00DD280F" w:rsidP="00DD280F">
      <w:pPr>
        <w:pStyle w:val="Tekstpodstawowy21"/>
        <w:spacing w:after="120"/>
        <w:rPr>
          <w:rFonts w:asciiTheme="minorHAnsi" w:hAnsiTheme="minorHAnsi" w:cs="Arial"/>
          <w:color w:val="000000" w:themeColor="text1"/>
          <w:sz w:val="20"/>
        </w:rPr>
      </w:pPr>
      <w:r w:rsidRPr="00582748">
        <w:rPr>
          <w:rFonts w:asciiTheme="minorHAnsi" w:hAnsiTheme="minorHAnsi" w:cs="Arial"/>
          <w:color w:val="000000" w:themeColor="text1"/>
          <w:sz w:val="20"/>
        </w:rPr>
        <w:t xml:space="preserve">zwanym dalej </w:t>
      </w:r>
      <w:r w:rsidRPr="00582748">
        <w:rPr>
          <w:rFonts w:asciiTheme="minorHAnsi" w:hAnsiTheme="minorHAnsi" w:cs="Arial"/>
          <w:b/>
          <w:color w:val="000000" w:themeColor="text1"/>
          <w:sz w:val="20"/>
        </w:rPr>
        <w:t>Wykonawcą</w:t>
      </w:r>
      <w:r w:rsidRPr="00582748">
        <w:rPr>
          <w:rFonts w:asciiTheme="minorHAnsi" w:hAnsiTheme="minorHAnsi" w:cs="Arial"/>
          <w:color w:val="000000" w:themeColor="text1"/>
          <w:sz w:val="20"/>
        </w:rPr>
        <w:t>,</w:t>
      </w:r>
    </w:p>
    <w:p w14:paraId="15E94D78" w14:textId="77777777" w:rsidR="00DD280F" w:rsidRPr="00582748" w:rsidRDefault="00DD280F" w:rsidP="00DD280F">
      <w:pPr>
        <w:pStyle w:val="BodyText21"/>
        <w:spacing w:after="120"/>
        <w:rPr>
          <w:rFonts w:asciiTheme="minorHAnsi" w:hAnsiTheme="minorHAnsi" w:cs="Arial"/>
          <w:color w:val="000000" w:themeColor="text1"/>
          <w:sz w:val="20"/>
        </w:rPr>
      </w:pPr>
    </w:p>
    <w:p w14:paraId="324DC345" w14:textId="77777777" w:rsidR="00DD280F" w:rsidRPr="00582748" w:rsidRDefault="00DD280F" w:rsidP="00DD280F">
      <w:pPr>
        <w:pStyle w:val="BodyText21"/>
        <w:spacing w:after="120"/>
        <w:rPr>
          <w:rFonts w:asciiTheme="minorHAnsi" w:hAnsiTheme="minorHAnsi" w:cs="Arial"/>
          <w:color w:val="000000" w:themeColor="text1"/>
          <w:sz w:val="20"/>
        </w:rPr>
      </w:pPr>
      <w:r w:rsidRPr="00582748">
        <w:rPr>
          <w:rFonts w:asciiTheme="minorHAnsi" w:hAnsiTheme="minorHAnsi" w:cs="Arial"/>
          <w:color w:val="000000" w:themeColor="text1"/>
          <w:sz w:val="20"/>
        </w:rPr>
        <w:t xml:space="preserve">o treści następującej: </w:t>
      </w:r>
    </w:p>
    <w:p w14:paraId="6C48FD43" w14:textId="77777777" w:rsidR="00DD280F" w:rsidRPr="00582748" w:rsidRDefault="00DD280F" w:rsidP="00DD280F">
      <w:pPr>
        <w:spacing w:after="120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728F351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§ 1</w:t>
      </w:r>
    </w:p>
    <w:p w14:paraId="090B4D8F" w14:textId="77777777" w:rsidR="00DD280F" w:rsidRPr="00582748" w:rsidRDefault="00DD280F" w:rsidP="004735D7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Teatr powierza Wykonawcy obsługę widowni na przedstawieniach i podczas wydarzeń w siedzibie Teatru.</w:t>
      </w:r>
    </w:p>
    <w:p w14:paraId="11AB2657" w14:textId="77777777" w:rsidR="00DD280F" w:rsidRPr="00582748" w:rsidRDefault="00DD280F" w:rsidP="004735D7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5DBD8A12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§ 2</w:t>
      </w:r>
    </w:p>
    <w:p w14:paraId="4B66B7F8" w14:textId="77777777" w:rsidR="00DD280F" w:rsidRPr="00582748" w:rsidRDefault="00DD280F" w:rsidP="00DD280F">
      <w:pPr>
        <w:spacing w:after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Do obowiązków bileterów należy:</w:t>
      </w:r>
    </w:p>
    <w:p w14:paraId="3EAC805B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obecność w Teatrze na minimum 60 minut przed Spektaklem,</w:t>
      </w:r>
    </w:p>
    <w:p w14:paraId="7AC50609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przygotowanie wydawnictw do sprzedaży,</w:t>
      </w:r>
    </w:p>
    <w:p w14:paraId="73858572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poprawianie programów np. aktualizacja wkładki obsadowej,</w:t>
      </w:r>
    </w:p>
    <w:p w14:paraId="645D621E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sprzedaż wydawnictw Teatru, w tym programów, przed Spektaklem i w czasie przerw w ustalonych z Teatrem miejscach,</w:t>
      </w:r>
    </w:p>
    <w:p w14:paraId="6D8A14E7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ekspozycja w </w:t>
      </w:r>
      <w:proofErr w:type="spellStart"/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foyer</w:t>
      </w:r>
      <w:proofErr w:type="spellEnd"/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 broszur repertuarowych i wydawnictw promocyjnych Starego Teatru i rozprowadzanie ich wśród widzów Teatru,</w:t>
      </w:r>
    </w:p>
    <w:p w14:paraId="6550D35C" w14:textId="795669DD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przygotowanie </w:t>
      </w:r>
      <w:r w:rsidR="000157F6" w:rsidRPr="00582748">
        <w:rPr>
          <w:rFonts w:asciiTheme="minorHAnsi" w:hAnsiTheme="minorHAnsi" w:cs="Arial"/>
          <w:color w:val="000000" w:themeColor="text1"/>
          <w:sz w:val="20"/>
          <w:szCs w:val="20"/>
        </w:rPr>
        <w:t>s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ali teatralnej i innych pomieszczeń dostępnych dla widzów, w tym w szczególności sprawdzanie porządku i czystości, ustawianie mebli i innego wyposażenia ruchomego, zdejmowanie i zakładanie osłon na fotelach,</w:t>
      </w:r>
    </w:p>
    <w:p w14:paraId="68C94A8F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wpuszczanie widzów do Teatru w obszar </w:t>
      </w:r>
      <w:proofErr w:type="spellStart"/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foyer</w:t>
      </w:r>
      <w:proofErr w:type="spellEnd"/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 od 40 minut przed Spektaklem a na widownię w czasie uzgodnionym z inspicjentem Spektaklu,</w:t>
      </w:r>
    </w:p>
    <w:p w14:paraId="0D3E3D7F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7C9FA0B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wręczanie kwiatów i upominków przekazanych przez widzów dla wykonawców Spektaklu na scenie po zakończeniu spektaklu lub w garderobie,</w:t>
      </w:r>
    </w:p>
    <w:p w14:paraId="0A8A47B9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lastRenderedPageBreak/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pozostawanie na stanowisku, dopóki ostatni widz nie opuści Teatru,</w:t>
      </w:r>
    </w:p>
    <w:p w14:paraId="5061F4A8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zgaszenie wszystkich świateł, zasunięcie wszystkich kotar i zamknięcie wszystkich drzwi i pomieszczeń po opuszczeniu Teatru przez ostatniego widza,</w:t>
      </w:r>
    </w:p>
    <w:p w14:paraId="58F3B98E" w14:textId="39C34ED1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sprawdzenie </w:t>
      </w:r>
      <w:r w:rsidR="000157F6" w:rsidRPr="00582748">
        <w:rPr>
          <w:rFonts w:asciiTheme="minorHAnsi" w:hAnsiTheme="minorHAnsi" w:cs="Arial"/>
          <w:color w:val="000000" w:themeColor="text1"/>
          <w:sz w:val="20"/>
          <w:szCs w:val="20"/>
        </w:rPr>
        <w:t>s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19226557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udzielanie widzowi wszelkiej pomocy w razie takiej potrzeby, a w szczególności w przypadku nieszczęśliwego zdarzenia (np. zasłabnięcia, potknięcia itp.),</w:t>
      </w:r>
    </w:p>
    <w:p w14:paraId="57966B88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udzielanie widzowi wszelkich niezbędnych informacji porządkowych (np. gdzie znajduje się bufet, toaleta itp.),</w:t>
      </w:r>
    </w:p>
    <w:p w14:paraId="40A831B3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pilnowanie, aby nie dopuszczać do palenia tytoniu na terenie Teatru,</w:t>
      </w:r>
    </w:p>
    <w:p w14:paraId="0F876C15" w14:textId="77777777" w:rsidR="00DD280F" w:rsidRPr="00582748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prowadzenie akcji ewakuacyjnej w przypadku zagrożenia zdrowia lub życia widzów.</w:t>
      </w:r>
    </w:p>
    <w:p w14:paraId="0C32064D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§ 3</w:t>
      </w:r>
    </w:p>
    <w:p w14:paraId="762867A0" w14:textId="77777777" w:rsidR="00DD280F" w:rsidRPr="00582748" w:rsidRDefault="00DD280F" w:rsidP="00DD280F">
      <w:pPr>
        <w:spacing w:after="12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Do obowiązków szatniarzy należy:</w:t>
      </w:r>
    </w:p>
    <w:p w14:paraId="071C530C" w14:textId="16D6C165" w:rsidR="00DD280F" w:rsidRPr="00582748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obecność w Teatrze na </w:t>
      </w:r>
      <w:r w:rsidR="005B5413"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minimum 60 minut 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przed Spektaklem,</w:t>
      </w:r>
    </w:p>
    <w:p w14:paraId="64AAB8D1" w14:textId="77777777" w:rsidR="00DD280F" w:rsidRPr="00582748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przygotowanie szatni dla widzów,</w:t>
      </w:r>
    </w:p>
    <w:p w14:paraId="04811261" w14:textId="77777777" w:rsidR="00DD280F" w:rsidRPr="00582748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odbieranie odzieży do szatni za wydaniem żetonu, przechowywanie odzieży widzów (płaszcze, kapelusze, parasole, torby itp.) i otaczanie jej opieką przed kradzieżą i zamianą,</w:t>
      </w:r>
    </w:p>
    <w:p w14:paraId="66AACEA8" w14:textId="77777777" w:rsidR="00DD280F" w:rsidRPr="00582748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wydawanie odzieży za zwrotem żetonu przez widzów,</w:t>
      </w:r>
    </w:p>
    <w:p w14:paraId="41C6DE72" w14:textId="77777777" w:rsidR="00DD280F" w:rsidRPr="00582748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sprzedaż wydawnictw Teatru, w tym programów,</w:t>
      </w:r>
    </w:p>
    <w:p w14:paraId="055085F9" w14:textId="77777777" w:rsidR="00DD280F" w:rsidRPr="00582748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obecność w szatni przez cały czas trwania Spektaklu, aż do chwili opuszczenia Teatru przez ostatniego widza.</w:t>
      </w:r>
    </w:p>
    <w:p w14:paraId="40AD5837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4</w:t>
      </w:r>
    </w:p>
    <w:p w14:paraId="551E0494" w14:textId="77777777" w:rsidR="00DD280F" w:rsidRPr="00582748" w:rsidRDefault="00DD280F" w:rsidP="004735D7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Korzystanie przez widzów z szatni i toalet jest bezpłatne.</w:t>
      </w:r>
    </w:p>
    <w:p w14:paraId="7BA2905B" w14:textId="77777777" w:rsidR="00DD280F" w:rsidRPr="00582748" w:rsidRDefault="00D37942" w:rsidP="004735D7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Żetony/breloczki do szatni Wykonawca otrzymuje od Teatru, bieże za nie odpowiedzialność w okresie obowiązywania umowy i </w:t>
      </w:r>
      <w:r w:rsidR="00E8132A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- w razie utraty z winy leżącej po jego stronie – uzupełnia na własny koszt.</w:t>
      </w:r>
    </w:p>
    <w:p w14:paraId="2688F729" w14:textId="77777777" w:rsidR="00DD280F" w:rsidRPr="00582748" w:rsidRDefault="00DD280F" w:rsidP="004735D7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Wykonawca odpowiada za utratę lub uszkodzenie przedmiotów przechowywanych w szatni.</w:t>
      </w:r>
    </w:p>
    <w:p w14:paraId="674165AA" w14:textId="0507F83D" w:rsidR="00DD280F" w:rsidRPr="00582748" w:rsidRDefault="00DD280F" w:rsidP="00DD280F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Wykonawca zapewni, aby jego personel przy świadczeniu usług ubrany był w sposób standardowy, uzgodniony z Teatrem. Strony uzgodnią także zasady identyfikacji wizualnej Teatru na odzieży personelu Wykonawcy. Ponadto w kazdej szatni Wykonawca zapewni naczynia z wodą na kwiaty, przybory do szycia i czyszczenia ubrań.</w:t>
      </w:r>
    </w:p>
    <w:p w14:paraId="52E6087E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5</w:t>
      </w:r>
    </w:p>
    <w:p w14:paraId="5DE0AC87" w14:textId="77777777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77777777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Wykonawca pobiera w komis wydawnictwa w magazynie materiałowym Teatru w takiej ilości, aby zaspokoić przwidywaną sprzedaż.</w:t>
      </w:r>
    </w:p>
    <w:p w14:paraId="49DE2522" w14:textId="77777777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77777777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lastRenderedPageBreak/>
        <w:t>Na koniec realizacji umowy Wykonawca zwróci do magazynu materiałowego Teatru niesprzedane wydawnictwa i dokona pełnego rozliczenia sprzedaży.</w:t>
      </w:r>
    </w:p>
    <w:p w14:paraId="357229C9" w14:textId="47775A44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Do </w:t>
      </w:r>
      <w:r w:rsidR="00DC24EB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5 dni roboczych od dnia zakończenia umowy 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Wykonawca przedłoży </w:t>
      </w:r>
      <w:r w:rsidR="00DC24EB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T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eatrowi rozliczenie sprzedaży wydanictw za cały okres realizacji umowy wg stanu na </w:t>
      </w:r>
      <w:r w:rsidR="00DC24EB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ostatni dzień obowiązywania umowy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. </w:t>
      </w:r>
    </w:p>
    <w:p w14:paraId="77B9D337" w14:textId="77777777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Wykonawca może sprzedawać w siedzibie Teatru wydawnictwa i artykuły obce w ustalonych przez siebie cenach, jednakże każdorazowe wprowadzenie ich do sprzedaży wymaga wcześniejszej zgody Teatru. Sprzedaż ta musi spełniać także wszystkie wymagania obowiązujących przepisów prawa.</w:t>
      </w:r>
    </w:p>
    <w:p w14:paraId="2EE8E4F6" w14:textId="77777777" w:rsidR="00DD280F" w:rsidRPr="00582748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Teatr odda do dyspozycji Wykonawcy szafy zamykane w pomieszczeniach położonych na III piętrze w siedzibie Teatru przy ul. Jagiellońskiej 5, dla przechowywania wydawnictw Teatru, pozostawionej odzieży i innego wyposażenia szatniarzy i bileterów.</w:t>
      </w:r>
    </w:p>
    <w:p w14:paraId="3A21F41B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§ 6</w:t>
      </w:r>
    </w:p>
    <w:p w14:paraId="439E7CE9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Wykonawca odpowiada za szkody i straty powstałe wskutek nienależytego wykonania powierzonych zadań.</w:t>
      </w:r>
    </w:p>
    <w:p w14:paraId="2F05DCCC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Wykonawca odpowiada za wpuszczanie do teatru wyłącznie tych widzów, którzy posiadają stosowne uprawnienia (bilety, zaproszenia itp.).</w:t>
      </w:r>
    </w:p>
    <w:p w14:paraId="0EF45960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Wykonawca otrzymuje od wyznaczonego przedstawiciela Teatru repertuar rozpisany na wszystkie sceny z dokładnym podaniem godzin rozpoczęcia i zakończenia Spektakli.</w:t>
      </w:r>
    </w:p>
    <w:p w14:paraId="4F15747E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Wykonawca jest zobowiązany dostosować się do wszelkich zmian w repertuarze zakomunikowanym przez przedstawiciela Teatru z co najmniej trzydniowym wyprzedzeniem.</w:t>
      </w:r>
    </w:p>
    <w:p w14:paraId="0522DD98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Wykonawca jest zobowiązany 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Personel Wykonawcy jest zobowiązany używać w czasie pracy plakietek identyfikujących zawierających znak firmowy Teatru.</w:t>
      </w:r>
    </w:p>
    <w:p w14:paraId="6302DD18" w14:textId="77777777" w:rsidR="00DD280F" w:rsidRPr="00582748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20EE51EA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7</w:t>
      </w:r>
    </w:p>
    <w:p w14:paraId="679FFBD4" w14:textId="77777777" w:rsidR="00F44746" w:rsidRPr="00582748" w:rsidRDefault="00F44746" w:rsidP="004735D7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2748">
        <w:rPr>
          <w:rFonts w:asciiTheme="minorHAnsi" w:hAnsiTheme="minorHAnsi"/>
          <w:sz w:val="20"/>
          <w:szCs w:val="20"/>
        </w:rPr>
        <w:t>Szacunkowa maksymalna łączna wartość zamówienia za należycie wykonany przedmiot umowy wynagrodzenie jest równa: netto: ……….zł,  brutto: …………. słownie: ……………… (zgodnie z ofertą wykonawcy).</w:t>
      </w:r>
    </w:p>
    <w:p w14:paraId="30FACAFB" w14:textId="7F8CCFB9" w:rsidR="00F44746" w:rsidRPr="00582748" w:rsidRDefault="00F44746" w:rsidP="004735D7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Wykonawcy nie będzie przysługiwać roszczenie o zapłatę maksymalnego wynagrodzenia, jeśli nie będzie tego uzasadniała liczba faktycznie obsłużonych Spektakli w czasie realizacji umowy.</w:t>
      </w:r>
    </w:p>
    <w:p w14:paraId="71C936E0" w14:textId="2678DD8F" w:rsidR="00DD280F" w:rsidRPr="00582748" w:rsidRDefault="00F44746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Teatr zapłaci Wykonawcy za</w:t>
      </w:r>
      <w:r w:rsidR="00DD280F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:</w:t>
      </w:r>
    </w:p>
    <w:p w14:paraId="4F4B2A68" w14:textId="06870403" w:rsidR="00DD280F" w:rsidRPr="00582748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obsługę jednego Spektaklu na Dużej Scenie/Scenie Kameralnej –  _________ złotych brutto  (słownie: _______ złotych 00/100), w tym podatek VAT według właściwej stawki,</w:t>
      </w:r>
    </w:p>
    <w:p w14:paraId="3F684D8B" w14:textId="53BE4CA0" w:rsidR="00F44746" w:rsidRPr="00582748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obsługę jednego Spektaklu na Nowej Scenie – _____ złotych brutto (słownie: ____________ złotych 00/100), w tym podatek VAT według właściwej stawki,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</w:t>
      </w:r>
    </w:p>
    <w:p w14:paraId="4474615D" w14:textId="62899B78" w:rsidR="00DD280F" w:rsidRPr="00582748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osobogodzin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ę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w zmianie dziennej  – _____ złotych brutto (słownie: _______ złotych 00/100), w tym podatek VAT według właściwej stawki,</w:t>
      </w:r>
    </w:p>
    <w:p w14:paraId="3FC7FF48" w14:textId="24D2B7B4" w:rsidR="00DD280F" w:rsidRPr="00582748" w:rsidRDefault="000157F6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o</w:t>
      </w:r>
      <w:r w:rsidR="00DD280F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sobogodzin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ę</w:t>
      </w:r>
      <w:r w:rsidR="00DD280F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w zmianie nocnej w kwocie _____ złotych brutto (słownie: ________ złotych 00/100), w tym podatek VAT według właściwej stawki,</w:t>
      </w:r>
    </w:p>
    <w:p w14:paraId="76994678" w14:textId="62472351" w:rsidR="00DD280F" w:rsidRPr="00582748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lastRenderedPageBreak/>
        <w:t>należność prowizyjn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ą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z tytułu wynagrodzenia za sprzedane wydawnictwa Teatru – w wysokości 10% wartości netto sprzedanych wydawnictw.</w:t>
      </w:r>
    </w:p>
    <w:p w14:paraId="0CEBA8EF" w14:textId="77777777" w:rsidR="00DD280F" w:rsidRPr="00582748" w:rsidRDefault="00DD280F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Podstawę do wystawienia przez Wykonawcę faktury VAT będzie stanowić:</w:t>
      </w:r>
    </w:p>
    <w:p w14:paraId="47BC851B" w14:textId="74CC21FA" w:rsidR="00DD280F" w:rsidRPr="00582748" w:rsidRDefault="00DD280F" w:rsidP="004735D7">
      <w:pPr>
        <w:pStyle w:val="Akapitzlist"/>
        <w:numPr>
          <w:ilvl w:val="0"/>
          <w:numId w:val="3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w zakresie, o którym mowa w ust. 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3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pkt 1-4 – zaakteptowane przez Teatr zestawienie obsłużonych Spektakli w poprzednim miesiącu kalendarzowym;</w:t>
      </w:r>
    </w:p>
    <w:p w14:paraId="264B4410" w14:textId="7DDE87E5" w:rsidR="00DD280F" w:rsidRPr="00582748" w:rsidRDefault="00DD280F" w:rsidP="004735D7">
      <w:pPr>
        <w:pStyle w:val="Akapitzlist"/>
        <w:numPr>
          <w:ilvl w:val="0"/>
          <w:numId w:val="31"/>
        </w:numPr>
        <w:spacing w:after="120"/>
        <w:ind w:left="567" w:hanging="283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w zakresie, o którym mowa w ust. 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3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582748" w:rsidRDefault="00DD280F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04057BC2" w:rsidR="00DD280F" w:rsidRPr="00582748" w:rsidRDefault="00DD280F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 przypadku odwołania Spektaklu i niezawiadomienia o tym Wykonawcy co najmniej z 1-dniowym wyprzedzeniem, Wykonawca ma prawo otrzymać pełną należność za odwołany Spektakl.</w:t>
      </w:r>
    </w:p>
    <w:p w14:paraId="00EF4D47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8</w:t>
      </w:r>
    </w:p>
    <w:p w14:paraId="77743D16" w14:textId="692C8369" w:rsidR="00DD280F" w:rsidRPr="00582748" w:rsidRDefault="00DD280F" w:rsidP="004735D7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Nadzór nad wykonywaniem umowy sprawować będzie ze strony Teatru </w:t>
      </w:r>
      <w:r w:rsidR="00E8132A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Kierownik Działu Promocji, 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p. Barbara Kwiatkowska, email: promocja@stary.pl, nr tel. </w:t>
      </w:r>
      <w:r w:rsidR="000157F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………..</w:t>
      </w:r>
    </w:p>
    <w:p w14:paraId="415859D9" w14:textId="3277EC7C" w:rsidR="00DD280F" w:rsidRPr="00582748" w:rsidRDefault="00DD280F" w:rsidP="004735D7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Koordynatorem ze strony Wykonawcy będzie p. ________, email: __________, nr tel. _______.</w:t>
      </w:r>
    </w:p>
    <w:p w14:paraId="757BAB93" w14:textId="77777777" w:rsidR="00DD280F" w:rsidRPr="00582748" w:rsidRDefault="00DD280F" w:rsidP="004735D7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Strony uznają, że korespondencja związana z realizacją umowy może być kierowana za pośrednictwem poczty elektronicznej na adresy wskazane w ust. 1 i 2.</w:t>
      </w:r>
    </w:p>
    <w:p w14:paraId="4B39EEE1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9</w:t>
      </w:r>
    </w:p>
    <w:p w14:paraId="088E07CE" w14:textId="5D2B434F" w:rsidR="00DD280F" w:rsidRPr="00582748" w:rsidRDefault="00DD280F" w:rsidP="004735D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 xml:space="preserve">Umowa niniejsza zawarta jest 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na </w:t>
      </w:r>
      <w:r w:rsidR="00DC24EB"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okres 12 miesięcy od dnia podpisania umowy 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lub do dnia wyczerpania kwoty, o której mowa w § 7 ust. </w:t>
      </w:r>
      <w:r w:rsidR="00F44746" w:rsidRPr="00582748">
        <w:rPr>
          <w:rFonts w:asciiTheme="minorHAnsi" w:hAnsiTheme="minorHAnsi" w:cs="Arial"/>
          <w:color w:val="000000" w:themeColor="text1"/>
          <w:sz w:val="20"/>
          <w:szCs w:val="20"/>
        </w:rPr>
        <w:t>1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, w zależności od tego, które z tych zdarzeń nastąpi wcześniej. Zamawiający poinformuje Wykonawcę niezwłocznie o wyczerpaniu kwoty, o której mowy w § 7 ust. </w:t>
      </w:r>
      <w:r w:rsidR="00F44746" w:rsidRPr="00582748">
        <w:rPr>
          <w:rFonts w:asciiTheme="minorHAnsi" w:hAnsiTheme="minorHAnsi" w:cs="Arial"/>
          <w:color w:val="000000" w:themeColor="text1"/>
          <w:sz w:val="20"/>
          <w:szCs w:val="20"/>
        </w:rPr>
        <w:t>1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4BCE2A0D" w14:textId="77777777" w:rsidR="00DD280F" w:rsidRPr="00582748" w:rsidRDefault="00DD280F" w:rsidP="004735D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582748" w:rsidRDefault="00DD280F" w:rsidP="004735D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71B790A1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10</w:t>
      </w:r>
    </w:p>
    <w:p w14:paraId="2A3471BE" w14:textId="77777777" w:rsidR="00DD280F" w:rsidRPr="00582748" w:rsidRDefault="00DD280F" w:rsidP="004735D7">
      <w:pPr>
        <w:spacing w:after="120"/>
        <w:ind w:left="284" w:hanging="284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1.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ab/>
        <w:t>Strony ustalają, że Wykonawca zapłaci na rzecz Teatru kary umowne z następujących tytułów:</w:t>
      </w:r>
    </w:p>
    <w:p w14:paraId="38FC463D" w14:textId="77777777" w:rsidR="00DD280F" w:rsidRPr="00582748" w:rsidRDefault="00DD280F" w:rsidP="004735D7">
      <w:pPr>
        <w:spacing w:after="120"/>
        <w:ind w:left="567" w:hanging="283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1)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ab/>
        <w:t>w przypadku niezapewnienia obsługi Spektaklu w zakresie minimalnej ilości personelu – w wysokości 330 złotych za każdy stwierdzony przypadek;</w:t>
      </w:r>
    </w:p>
    <w:p w14:paraId="411F5F30" w14:textId="77777777" w:rsidR="00DD280F" w:rsidRPr="00582748" w:rsidRDefault="00DD280F" w:rsidP="004735D7">
      <w:pPr>
        <w:spacing w:after="120"/>
        <w:ind w:left="567" w:hanging="283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2)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ab/>
        <w:t>w przypadku opóźnienia w rozpoczęciu pracy obsługi Spektaklu w stosunku do wymagań niniejszej umowy – w wysokości 330 złotych za każdy stwierdzony przypadek;</w:t>
      </w:r>
    </w:p>
    <w:p w14:paraId="6B9383C9" w14:textId="1AFDEB3F" w:rsidR="00DD280F" w:rsidRPr="00582748" w:rsidRDefault="00DD280F" w:rsidP="004735D7">
      <w:pPr>
        <w:spacing w:after="120"/>
        <w:ind w:left="567" w:hanging="283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3)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ab/>
        <w:t>w przypadku rażącego nie wywiązania się z obowiązków umowy przez Wykonawcę i wypowiedzenia umowy z tego powodu – w wysokości 10% maksymalnej wysokości wynagrodzenia brutto, określonej w § 7 ust.</w:t>
      </w:r>
      <w:r w:rsidR="00F44746"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1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.</w:t>
      </w:r>
    </w:p>
    <w:p w14:paraId="7830C513" w14:textId="0C62A278" w:rsidR="00DD280F" w:rsidRPr="00582748" w:rsidRDefault="00DD280F" w:rsidP="004735D7">
      <w:pPr>
        <w:spacing w:after="120"/>
        <w:ind w:left="284" w:hanging="284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2.</w:t>
      </w: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ab/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02055E58" w14:textId="77777777" w:rsidR="00E8132A" w:rsidRPr="00582748" w:rsidRDefault="00E8132A">
      <w:pPr>
        <w:spacing w:after="160" w:line="259" w:lineRule="auto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14:paraId="230113F0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</w:p>
    <w:p w14:paraId="7B6699FB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§ 11</w:t>
      </w:r>
    </w:p>
    <w:p w14:paraId="2A2E2114" w14:textId="77777777" w:rsidR="00DD280F" w:rsidRPr="00582748" w:rsidRDefault="00DD280F" w:rsidP="004735D7">
      <w:pPr>
        <w:pStyle w:val="Akapitzlist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Wszelkie zmiany i uzupełnienia niniejszej umowy powinny być dokonane w formie pisemnej pod rygorem nieważności.</w:t>
      </w:r>
    </w:p>
    <w:p w14:paraId="46B7CF83" w14:textId="77777777" w:rsidR="00DD280F" w:rsidRPr="00582748" w:rsidRDefault="00DD280F" w:rsidP="004735D7">
      <w:pPr>
        <w:pStyle w:val="Akapitzlist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Strony poddają spory, które mogą z umowy tej wyniknąć właściwym rzeczowo sądom w Krakowie.</w:t>
      </w:r>
    </w:p>
    <w:p w14:paraId="14A0A6DD" w14:textId="77777777" w:rsidR="00DD280F" w:rsidRPr="00582748" w:rsidRDefault="00DD280F" w:rsidP="004735D7">
      <w:pPr>
        <w:pStyle w:val="Akapitzlist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noProof/>
          <w:color w:val="000000" w:themeColor="text1"/>
          <w:sz w:val="20"/>
          <w:szCs w:val="20"/>
        </w:rPr>
        <w:t>Umowa niniejsza sporządzona zostaje w dwóch jednobrzmiących egzemplarzach, po jednym dla każdej strony.</w:t>
      </w:r>
    </w:p>
    <w:p w14:paraId="722E30B1" w14:textId="77777777" w:rsidR="00DD280F" w:rsidRPr="00582748" w:rsidRDefault="00DD280F" w:rsidP="00DD280F">
      <w:pPr>
        <w:spacing w:after="120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10EF048" w14:textId="77777777" w:rsidR="00DD280F" w:rsidRPr="00582748" w:rsidRDefault="00DD280F" w:rsidP="00DD280F">
      <w:pPr>
        <w:spacing w:after="120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 xml:space="preserve">Za Teatr: </w:t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582748">
        <w:rPr>
          <w:rFonts w:asciiTheme="minorHAnsi" w:hAnsiTheme="minorHAnsi" w:cs="Arial"/>
          <w:color w:val="000000" w:themeColor="text1"/>
          <w:sz w:val="20"/>
          <w:szCs w:val="20"/>
        </w:rPr>
        <w:tab/>
        <w:t>Za Wykonawcę:</w:t>
      </w:r>
    </w:p>
    <w:p w14:paraId="6524EF44" w14:textId="77777777" w:rsidR="00DD280F" w:rsidRPr="00582748" w:rsidRDefault="00DD280F" w:rsidP="00DD280F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54FC004F" w14:textId="77777777" w:rsidR="00DD280F" w:rsidRPr="00582748" w:rsidRDefault="00DD280F" w:rsidP="00DD280F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2A4B329" w14:textId="77777777" w:rsidR="00DD280F" w:rsidRPr="00582748" w:rsidRDefault="00DD280F" w:rsidP="00DD280F">
      <w:pPr>
        <w:rPr>
          <w:rFonts w:asciiTheme="minorHAnsi" w:hAnsiTheme="minorHAnsi"/>
          <w:sz w:val="20"/>
          <w:szCs w:val="20"/>
        </w:rPr>
      </w:pPr>
    </w:p>
    <w:p w14:paraId="637A0B47" w14:textId="77777777" w:rsidR="00DD280F" w:rsidRPr="00582748" w:rsidRDefault="00DD280F" w:rsidP="00DD280F">
      <w:pPr>
        <w:jc w:val="center"/>
        <w:rPr>
          <w:rFonts w:asciiTheme="minorHAnsi" w:hAnsiTheme="minorHAnsi"/>
          <w:sz w:val="20"/>
          <w:szCs w:val="20"/>
        </w:rPr>
      </w:pPr>
    </w:p>
    <w:sectPr w:rsidR="00DD280F" w:rsidRPr="00582748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AED1A" w14:textId="77777777" w:rsidR="007B2AF1" w:rsidRDefault="007B2AF1">
      <w:r>
        <w:separator/>
      </w:r>
    </w:p>
  </w:endnote>
  <w:endnote w:type="continuationSeparator" w:id="0">
    <w:p w14:paraId="3CB517FE" w14:textId="77777777" w:rsidR="007B2AF1" w:rsidRDefault="007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E37C0" w14:textId="77777777" w:rsidR="007B2AF1" w:rsidRDefault="007B2AF1">
      <w:r>
        <w:separator/>
      </w:r>
    </w:p>
  </w:footnote>
  <w:footnote w:type="continuationSeparator" w:id="0">
    <w:p w14:paraId="4B9FFEDA" w14:textId="77777777" w:rsidR="007B2AF1" w:rsidRDefault="007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82748" w:rsidRPr="00582748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582748" w:rsidRPr="00582748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3F2D2B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745BC4"/>
    <w:multiLevelType w:val="hybridMultilevel"/>
    <w:tmpl w:val="5738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64B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26"/>
  </w:num>
  <w:num w:numId="5">
    <w:abstractNumId w:val="13"/>
  </w:num>
  <w:num w:numId="6">
    <w:abstractNumId w:val="34"/>
  </w:num>
  <w:num w:numId="7">
    <w:abstractNumId w:val="33"/>
  </w:num>
  <w:num w:numId="8">
    <w:abstractNumId w:val="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8"/>
  </w:num>
  <w:num w:numId="24">
    <w:abstractNumId w:val="30"/>
  </w:num>
  <w:num w:numId="25">
    <w:abstractNumId w:val="2"/>
  </w:num>
  <w:num w:numId="26">
    <w:abstractNumId w:val="22"/>
  </w:num>
  <w:num w:numId="27">
    <w:abstractNumId w:val="25"/>
  </w:num>
  <w:num w:numId="28">
    <w:abstractNumId w:val="11"/>
  </w:num>
  <w:num w:numId="29">
    <w:abstractNumId w:val="12"/>
  </w:num>
  <w:num w:numId="30">
    <w:abstractNumId w:val="8"/>
  </w:num>
  <w:num w:numId="31">
    <w:abstractNumId w:val="9"/>
  </w:num>
  <w:num w:numId="32">
    <w:abstractNumId w:val="32"/>
  </w:num>
  <w:num w:numId="33">
    <w:abstractNumId w:val="27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157F6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35BF6"/>
    <w:rsid w:val="00443571"/>
    <w:rsid w:val="00446891"/>
    <w:rsid w:val="004548F6"/>
    <w:rsid w:val="004735D7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D777F"/>
    <w:rsid w:val="004E1BDE"/>
    <w:rsid w:val="004E239B"/>
    <w:rsid w:val="00500542"/>
    <w:rsid w:val="0051377D"/>
    <w:rsid w:val="0052248E"/>
    <w:rsid w:val="0054711B"/>
    <w:rsid w:val="00582748"/>
    <w:rsid w:val="00583AEE"/>
    <w:rsid w:val="005970B0"/>
    <w:rsid w:val="005974A5"/>
    <w:rsid w:val="005B2956"/>
    <w:rsid w:val="005B5413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2AF1"/>
    <w:rsid w:val="007B4BD0"/>
    <w:rsid w:val="007C406E"/>
    <w:rsid w:val="007E5EF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0C9D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06C8E"/>
    <w:rsid w:val="00A134E8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85135"/>
    <w:rsid w:val="00A93586"/>
    <w:rsid w:val="00AA0056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3B5"/>
    <w:rsid w:val="00DA5E38"/>
    <w:rsid w:val="00DA5E85"/>
    <w:rsid w:val="00DB37D1"/>
    <w:rsid w:val="00DC039A"/>
    <w:rsid w:val="00DC1466"/>
    <w:rsid w:val="00DC24EB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25131"/>
    <w:rsid w:val="00F318DF"/>
    <w:rsid w:val="00F42F33"/>
    <w:rsid w:val="00F43A59"/>
    <w:rsid w:val="00F44746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5ABC-DAD3-4818-89CB-292913F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9</cp:revision>
  <cp:lastPrinted>2020-12-11T10:50:00Z</cp:lastPrinted>
  <dcterms:created xsi:type="dcterms:W3CDTF">2019-12-03T12:24:00Z</dcterms:created>
  <dcterms:modified xsi:type="dcterms:W3CDTF">2020-12-11T10:51:00Z</dcterms:modified>
</cp:coreProperties>
</file>